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PRESENTACIÓN DE PROPUESTAS DE DEMOSTRACIONES DE HERRAMIENTAS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vertAlign w:val="baseline"/>
          <w:rtl w:val="0"/>
        </w:rPr>
        <w:t xml:space="preserve">JADICC 2024</w:t>
      </w:r>
      <w:r w:rsidDel="00000000" w:rsidR="00000000" w:rsidRPr="00000000">
        <w:rPr>
          <w:rtl w:val="0"/>
        </w:rPr>
      </w:r>
    </w:p>
    <w:tbl>
      <w:tblPr>
        <w:tblStyle w:val="Table1"/>
        <w:tblW w:w="9528.0" w:type="dxa"/>
        <w:jc w:val="left"/>
        <w:tblInd w:w="-108.0" w:type="dxa"/>
        <w:tblLayout w:type="fixed"/>
        <w:tblLook w:val="0000"/>
      </w:tblPr>
      <w:tblGrid>
        <w:gridCol w:w="9528"/>
        <w:tblGridChange w:id="0">
          <w:tblGrid>
            <w:gridCol w:w="95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de la Demostración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spacing w:after="80" w:before="8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Con este título se identificará la presentación en el programa del evento.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Equipo que realiza la presentación*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78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y apellido 1 - Institución - e-mail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4" w:before="0" w:line="240" w:lineRule="auto"/>
              <w:ind w:left="78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y apellido 2 – Institución - 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Destinatarios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spacing w:after="114" w:before="114" w:line="240" w:lineRule="auto"/>
              <w:ind w:left="786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Cupo mínimo y máximo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8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 mínima: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8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 máxima: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Lugar y fecha de realización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spacing w:after="114" w:before="114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8"/>
                <w:szCs w:val="18"/>
                <w:vertAlign w:val="baseline"/>
                <w:rtl w:val="0"/>
              </w:rPr>
              <w:t xml:space="preserve">JADiCC 2024. Modalidad sincrónica virtual. 24 o 25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 de octubre de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Cantidad de horas de duración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spacing w:after="80" w:before="8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 Duración total 1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  <w:tab w:val="left" w:leader="none" w:pos="567"/>
              </w:tabs>
              <w:spacing w:after="0" w:before="0" w:line="240" w:lineRule="auto"/>
              <w:ind w:left="42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 (extensión máxima 3 carillas)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A) Síntesis de la herramienta o entorno a presentar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color w:val="000000"/>
                <w:sz w:val="18"/>
                <w:szCs w:val="18"/>
                <w:vertAlign w:val="baseline"/>
                <w:rtl w:val="0"/>
              </w:rPr>
              <w:t xml:space="preserve">Niveles educativos en los que se podría utilizar (Inicial, Primario, Secundario, Formación docente superior no universitario, Universitario, Otros)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C)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color w:val="000000"/>
                <w:sz w:val="18"/>
                <w:szCs w:val="18"/>
                <w:vertAlign w:val="baseline"/>
                <w:rtl w:val="0"/>
              </w:rPr>
              <w:t xml:space="preserve">Principal aporte de la herramienta o entorno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color w:val="000000"/>
                <w:sz w:val="18"/>
                <w:szCs w:val="18"/>
                <w:vertAlign w:val="baseline"/>
                <w:rtl w:val="0"/>
              </w:rPr>
              <w:t xml:space="preserve">Describa brevemente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z w:val="18"/>
                <w:szCs w:val="18"/>
                <w:rtl w:val="0"/>
              </w:rPr>
              <w:t xml:space="preserve">cuál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color w:val="000000"/>
                <w:sz w:val="18"/>
                <w:szCs w:val="18"/>
                <w:vertAlign w:val="baseline"/>
                <w:rtl w:val="0"/>
              </w:rPr>
              <w:t xml:space="preserve"> es el aporte principal para la enseñanza y/o el aprendizaje de las Ciencias de la Computación.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D)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color w:val="000000"/>
                <w:sz w:val="18"/>
                <w:szCs w:val="18"/>
                <w:vertAlign w:val="baseline"/>
                <w:rtl w:val="0"/>
              </w:rPr>
              <w:t xml:space="preserve">Información adicional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color w:val="000000"/>
                <w:sz w:val="18"/>
                <w:szCs w:val="18"/>
                <w:vertAlign w:val="baseline"/>
                <w:rtl w:val="0"/>
              </w:rPr>
              <w:t xml:space="preserve">Incluya toda información adicional que considere necesaria para el Comité del Programa. En especial, incluya el link (de existir) a la herramienta o entorno a presentar.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before="80" w:line="240" w:lineRule="auto"/>
        <w:jc w:val="both"/>
        <w:rPr>
          <w:rFonts w:ascii="Courier New" w:cs="Courier New" w:eastAsia="Courier New" w:hAnsi="Courier New"/>
          <w:i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80" w:line="240" w:lineRule="auto"/>
        <w:jc w:val="both"/>
        <w:rPr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8"/>
          <w:szCs w:val="18"/>
          <w:vertAlign w:val="baseline"/>
          <w:rtl w:val="0"/>
        </w:rPr>
        <w:t xml:space="preserve">* Adjuntar CV resumido de los </w:t>
      </w:r>
      <w:r w:rsidDel="00000000" w:rsidR="00000000" w:rsidRPr="00000000">
        <w:rPr>
          <w:rFonts w:ascii="Courier New" w:cs="Courier New" w:eastAsia="Courier New" w:hAnsi="Courier New"/>
          <w:i w:val="1"/>
          <w:sz w:val="18"/>
          <w:szCs w:val="18"/>
          <w:rtl w:val="0"/>
        </w:rPr>
        <w:t xml:space="preserve">presentadores</w:t>
      </w:r>
      <w:r w:rsidDel="00000000" w:rsidR="00000000" w:rsidRPr="00000000">
        <w:rPr>
          <w:rFonts w:ascii="Courier New" w:cs="Courier New" w:eastAsia="Courier New" w:hAnsi="Courier New"/>
          <w:i w:val="1"/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709" w:top="764" w:left="1417" w:right="1417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2" w:right="0" w:firstLine="0"/>
      <w:jc w:val="center"/>
      <w:rPr>
        <w:rFonts w:ascii="Garamond" w:cs="Garamond" w:eastAsia="Garamond" w:hAnsi="Garamond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EnlacedeInternet">
    <w:name w:val="Enlace de Internet"/>
    <w:next w:val="Enlacede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uerpodetexto"/>
    <w:autoRedefine w:val="0"/>
    <w:hidden w:val="0"/>
    <w:qFormat w:val="0"/>
    <w:pPr>
      <w:keepNext w:val="1"/>
      <w:widowControl w:val="1"/>
      <w:suppressAutoHyphens w:val="1"/>
      <w:kinsoku w:val="1"/>
      <w:overflowPunct w:val="1"/>
      <w:autoSpaceDE w:val="1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AR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1"/>
      <w:kinsoku w:val="1"/>
      <w:overflowPunct w:val="1"/>
      <w:autoSpaceDE w:val="1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1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200" w:before="0" w:line="27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Cabeceraypie">
    <w:name w:val="Cabecera y pie"/>
    <w:basedOn w:val="Normal"/>
    <w:next w:val="Cabeceraypie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1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Cabecera">
    <w:name w:val="Cabecera"/>
    <w:basedOn w:val="Normal"/>
    <w:next w:val="Cabecera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1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1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AR"/>
    </w:rPr>
  </w:style>
  <w:style w:type="paragraph" w:styleId="Epígrafe">
    <w:name w:val="Epígrafe"/>
    <w:basedOn w:val="Normal"/>
    <w:next w:val="Normal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0" w:before="0" w:line="240" w:lineRule="auto"/>
      <w:ind w:left="-567" w:right="0" w:leftChars="-1" w:rightChars="0" w:firstLine="0" w:firstLineChars="-1"/>
      <w:jc w:val="both"/>
      <w:textDirection w:val="btLr"/>
      <w:textAlignment w:val="top"/>
      <w:outlineLvl w:val="0"/>
    </w:pPr>
    <w:rPr>
      <w:rFonts w:ascii="Garamond" w:cs="Times New Roman" w:eastAsia="Times New Roman" w:hAnsi="Garamond"/>
      <w:b w:val="1"/>
      <w:i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1"/>
      <w:suppressLineNumbers w:val="1"/>
      <w:suppressAutoHyphens w:val="1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Títulodelatabla">
    <w:name w:val="Título de la tabla"/>
    <w:basedOn w:val="Contenidodelatabla"/>
    <w:next w:val="Títulodelatabla"/>
    <w:autoRedefine w:val="0"/>
    <w:hidden w:val="0"/>
    <w:qFormat w:val="0"/>
    <w:pPr>
      <w:widowControl w:val="1"/>
      <w:suppressLineNumbers w:val="1"/>
      <w:suppressAutoHyphens w:val="1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LO-normal1">
    <w:name w:val="LO-normal1"/>
    <w:next w:val="LO-normal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ohit Devanagari" w:eastAsia="Noto Serif CJK SC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Liberation Serif" w:eastAsia="Lohit Devanagari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hi-IN" w:val="es-AR"/>
    </w:rPr>
  </w:style>
  <w:style w:type="paragraph" w:styleId="Contenidodelmarco">
    <w:name w:val="Contenido del marco"/>
    <w:basedOn w:val="Normal"/>
    <w:next w:val="Contenidodelmarco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BTkOuyyNR57mrI1jZXHNChDfiQ==">CgMxLjA4AHIhMUVNNy1ZMGNCSFhaRi1MeWxmMlpESWpGTkNrdDBkN0xu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2019-10-29T15:39:00Z</dcterms:created>
  <dc:creator>Secretario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